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6727">
      <w:pPr>
        <w:pStyle w:val="3"/>
        <w:jc w:val="center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2026年校级学生职业技能大赛</w:t>
      </w:r>
    </w:p>
    <w:p w14:paraId="183CFE6F">
      <w:pPr>
        <w:pStyle w:val="3"/>
        <w:jc w:val="center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计算机应用技术专业竞赛实施方案</w:t>
      </w:r>
    </w:p>
    <w:p w14:paraId="7142BD26">
      <w:pPr>
        <w:rPr>
          <w:color w:val="auto"/>
        </w:rPr>
      </w:pPr>
    </w:p>
    <w:p w14:paraId="1B9BA302">
      <w:pPr>
        <w:jc w:val="center"/>
        <w:rPr>
          <w:color w:val="auto"/>
        </w:rPr>
      </w:pPr>
      <w:r>
        <w:rPr>
          <w:b/>
          <w:color w:val="auto"/>
        </w:rPr>
        <w:t>教学</w:t>
      </w:r>
      <w:r>
        <w:rPr>
          <w:rFonts w:hint="eastAsia"/>
          <w:b/>
          <w:color w:val="auto"/>
          <w:lang w:val="en-US" w:eastAsia="zh-CN"/>
        </w:rPr>
        <w:t>单位</w:t>
      </w:r>
      <w:r>
        <w:rPr>
          <w:b/>
          <w:color w:val="auto"/>
        </w:rPr>
        <w:t>：计算机应用技术专业</w:t>
      </w:r>
    </w:p>
    <w:p w14:paraId="7591D03D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</w:rPr>
        <w:t>、大赛时间</w:t>
      </w:r>
    </w:p>
    <w:p w14:paraId="671CA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2026年6月</w:t>
      </w:r>
      <w:r>
        <w:rPr>
          <w:rFonts w:hint="eastAsia"/>
          <w:color w:val="auto"/>
          <w:sz w:val="21"/>
          <w:szCs w:val="21"/>
          <w:lang w:val="en-US" w:eastAsia="zh-CN"/>
        </w:rPr>
        <w:t>11</w:t>
      </w:r>
      <w:r>
        <w:rPr>
          <w:color w:val="auto"/>
          <w:sz w:val="21"/>
          <w:szCs w:val="21"/>
        </w:rPr>
        <w:t>日（周</w:t>
      </w:r>
      <w:r>
        <w:rPr>
          <w:rFonts w:hint="eastAsia"/>
          <w:color w:val="auto"/>
          <w:sz w:val="21"/>
          <w:szCs w:val="21"/>
          <w:lang w:val="en-US" w:eastAsia="zh-CN"/>
        </w:rPr>
        <w:t>四</w:t>
      </w:r>
      <w:r>
        <w:rPr>
          <w:color w:val="auto"/>
          <w:sz w:val="21"/>
          <w:szCs w:val="21"/>
        </w:rPr>
        <w:t>）</w:t>
      </w:r>
    </w:p>
    <w:tbl>
      <w:tblPr>
        <w:tblStyle w:val="3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523"/>
        <w:gridCol w:w="6108"/>
      </w:tblGrid>
      <w:tr w14:paraId="10E6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4" w:type="pct"/>
            <w:shd w:val="clear" w:color="auto" w:fill="F2F2F2"/>
          </w:tcPr>
          <w:p w14:paraId="3610466D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场次</w:t>
            </w:r>
          </w:p>
        </w:tc>
        <w:tc>
          <w:tcPr>
            <w:tcW w:w="893" w:type="pct"/>
            <w:shd w:val="clear" w:color="auto" w:fill="F2F2F2"/>
          </w:tcPr>
          <w:p w14:paraId="140F056F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时间</w:t>
            </w:r>
          </w:p>
        </w:tc>
        <w:tc>
          <w:tcPr>
            <w:tcW w:w="3581" w:type="pct"/>
            <w:shd w:val="clear" w:color="auto" w:fill="F2F2F2"/>
          </w:tcPr>
          <w:p w14:paraId="741D1E9B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内容</w:t>
            </w:r>
          </w:p>
        </w:tc>
      </w:tr>
      <w:tr w14:paraId="5DAD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4" w:type="pct"/>
          </w:tcPr>
          <w:p w14:paraId="6C4CCA06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下</w:t>
            </w:r>
            <w:r>
              <w:rPr>
                <w:color w:val="auto"/>
              </w:rPr>
              <w:t>午场</w:t>
            </w:r>
          </w:p>
        </w:tc>
        <w:tc>
          <w:tcPr>
            <w:tcW w:w="893" w:type="pct"/>
          </w:tcPr>
          <w:p w14:paraId="1560835B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color w:val="auto"/>
              </w:rPr>
              <w:t>:00-1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color w:val="auto"/>
              </w:rPr>
              <w:t>0</w:t>
            </w:r>
          </w:p>
        </w:tc>
        <w:tc>
          <w:tcPr>
            <w:tcW w:w="3581" w:type="pct"/>
          </w:tcPr>
          <w:p w14:paraId="113CE3BA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理论考试（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0分钟）+ 实操考试（1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0分钟），共1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color w:val="auto"/>
              </w:rPr>
              <w:t>0分钟</w:t>
            </w:r>
          </w:p>
        </w:tc>
      </w:tr>
    </w:tbl>
    <w:p w14:paraId="3800266C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</w:rPr>
        <w:t>、大赛项目名称</w:t>
      </w:r>
    </w:p>
    <w:p w14:paraId="09C2E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2026年校级学生职业技能大赛——</w:t>
      </w:r>
      <w:r>
        <w:rPr>
          <w:rFonts w:hint="eastAsia"/>
          <w:color w:val="auto"/>
          <w:sz w:val="21"/>
          <w:szCs w:val="21"/>
          <w:lang w:eastAsia="zh-CN"/>
        </w:rPr>
        <w:t>web技术</w:t>
      </w:r>
      <w:r>
        <w:rPr>
          <w:color w:val="auto"/>
          <w:sz w:val="21"/>
          <w:szCs w:val="21"/>
        </w:rPr>
        <w:t>开发赛项</w:t>
      </w:r>
    </w:p>
    <w:p w14:paraId="792B539A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三、大赛地点</w:t>
      </w:r>
    </w:p>
    <w:p w14:paraId="34B9F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校内实训机房（容纳60人，配置VS Code/</w:t>
      </w:r>
      <w:r>
        <w:rPr>
          <w:rFonts w:hint="eastAsia"/>
          <w:color w:val="auto"/>
          <w:sz w:val="21"/>
          <w:szCs w:val="21"/>
          <w:lang w:val="en-US" w:eastAsia="zh-CN"/>
        </w:rPr>
        <w:t>Sublime/HBulider</w:t>
      </w:r>
      <w:r>
        <w:rPr>
          <w:color w:val="auto"/>
          <w:sz w:val="21"/>
          <w:szCs w:val="21"/>
        </w:rPr>
        <w:t>、Chrome浏览器）</w:t>
      </w:r>
    </w:p>
    <w:p w14:paraId="4EE72028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四、大赛目的</w:t>
      </w:r>
    </w:p>
    <w:p w14:paraId="2FB22E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1. 以赛促学，检验计算机应用技术专业大一学生对HTML、CSS、JavaScript等核心课程知识的掌握程度，强化基础技能训练；</w:t>
      </w:r>
    </w:p>
    <w:p w14:paraId="38709C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 对接2026年河北省职业院校技能大赛"</w:t>
      </w:r>
      <w:r>
        <w:rPr>
          <w:rFonts w:hint="eastAsia"/>
          <w:color w:val="auto"/>
          <w:sz w:val="21"/>
          <w:szCs w:val="21"/>
          <w:lang w:eastAsia="zh-CN"/>
        </w:rPr>
        <w:t>web技术</w:t>
      </w:r>
      <w:r>
        <w:rPr>
          <w:color w:val="auto"/>
          <w:sz w:val="21"/>
          <w:szCs w:val="21"/>
        </w:rPr>
        <w:t>开发"赛项规程，以省赛模块（需求分析、</w:t>
      </w:r>
      <w:r>
        <w:rPr>
          <w:rFonts w:hint="eastAsia"/>
          <w:color w:val="auto"/>
          <w:sz w:val="21"/>
          <w:szCs w:val="21"/>
          <w:lang w:val="en-US" w:eastAsia="zh-CN"/>
        </w:rPr>
        <w:t>程序排错</w:t>
      </w:r>
      <w:r>
        <w:rPr>
          <w:color w:val="auto"/>
          <w:sz w:val="21"/>
          <w:szCs w:val="21"/>
        </w:rPr>
        <w:t>、</w:t>
      </w:r>
      <w:r>
        <w:rPr>
          <w:rFonts w:hint="eastAsia"/>
          <w:color w:val="auto"/>
          <w:sz w:val="21"/>
          <w:szCs w:val="21"/>
          <w:lang w:val="en-US" w:eastAsia="zh-CN"/>
        </w:rPr>
        <w:t>功能编码</w:t>
      </w:r>
      <w:r>
        <w:rPr>
          <w:color w:val="auto"/>
          <w:sz w:val="21"/>
          <w:szCs w:val="21"/>
        </w:rPr>
        <w:t>）为蓝本设计校赛内容，实现校赛与省赛的有效衔接；</w:t>
      </w:r>
    </w:p>
    <w:p w14:paraId="6BA668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 通过竞赛选拔优秀种子选手，为后续省赛集训和参赛储备人才；</w:t>
      </w:r>
    </w:p>
    <w:p w14:paraId="66691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 营造技能学习氛围，激发学生学习热情，培养学生工匠精神和职业素养。</w:t>
      </w:r>
    </w:p>
    <w:p w14:paraId="2B0FB2B7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五、大赛组织机构及人员组成</w:t>
      </w:r>
    </w:p>
    <w:p w14:paraId="4BE72C23">
      <w:pPr>
        <w:rPr>
          <w:color w:val="auto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095"/>
        <w:gridCol w:w="6233"/>
      </w:tblGrid>
      <w:tr w14:paraId="3C23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shd w:val="clear" w:color="auto" w:fill="F2F2F2"/>
          </w:tcPr>
          <w:p w14:paraId="117D04AB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职务</w:t>
            </w:r>
          </w:p>
        </w:tc>
        <w:tc>
          <w:tcPr>
            <w:tcW w:w="1095" w:type="dxa"/>
            <w:shd w:val="clear" w:color="auto" w:fill="F2F2F2"/>
          </w:tcPr>
          <w:p w14:paraId="1B8353F2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姓名</w:t>
            </w:r>
          </w:p>
        </w:tc>
        <w:tc>
          <w:tcPr>
            <w:tcW w:w="6233" w:type="dxa"/>
            <w:shd w:val="clear" w:color="auto" w:fill="F2F2F2"/>
          </w:tcPr>
          <w:p w14:paraId="0303A65F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职责</w:t>
            </w:r>
          </w:p>
        </w:tc>
      </w:tr>
      <w:tr w14:paraId="6F92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vAlign w:val="center"/>
          </w:tcPr>
          <w:p w14:paraId="3083B2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裁判长</w:t>
            </w:r>
          </w:p>
        </w:tc>
        <w:tc>
          <w:tcPr>
            <w:tcW w:w="1095" w:type="dxa"/>
            <w:vAlign w:val="center"/>
          </w:tcPr>
          <w:p w14:paraId="4DA2628A">
            <w:pPr>
              <w:jc w:val="both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赵文艳</w:t>
            </w:r>
          </w:p>
        </w:tc>
        <w:tc>
          <w:tcPr>
            <w:tcW w:w="6233" w:type="dxa"/>
            <w:vAlign w:val="center"/>
          </w:tcPr>
          <w:p w14:paraId="043AE577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负责赛事统筹、命题、技术支撑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</w:rPr>
              <w:t>评分标准审定、成绩仲裁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</w:rPr>
              <w:t>场地安排、设备调试、签到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  <w:lang w:val="en-US" w:eastAsia="zh-CN"/>
              </w:rPr>
              <w:t>监考</w:t>
            </w:r>
            <w:r>
              <w:rPr>
                <w:color w:val="auto"/>
              </w:rPr>
              <w:t>及后勤保障</w:t>
            </w:r>
          </w:p>
        </w:tc>
      </w:tr>
      <w:tr w14:paraId="3335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vAlign w:val="center"/>
          </w:tcPr>
          <w:p w14:paraId="004C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裁判</w:t>
            </w:r>
            <w:r>
              <w:rPr>
                <w:rFonts w:hint="eastAsia"/>
                <w:color w:val="auto"/>
                <w:lang w:val="en-US" w:eastAsia="zh-CN"/>
              </w:rPr>
              <w:t>及专家</w:t>
            </w:r>
          </w:p>
        </w:tc>
        <w:tc>
          <w:tcPr>
            <w:tcW w:w="1095" w:type="dxa"/>
            <w:vAlign w:val="center"/>
          </w:tcPr>
          <w:p w14:paraId="2A110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both"/>
              <w:textAlignment w:val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李红艳</w:t>
            </w:r>
          </w:p>
        </w:tc>
        <w:tc>
          <w:tcPr>
            <w:tcW w:w="6233" w:type="dxa"/>
            <w:vAlign w:val="center"/>
          </w:tcPr>
          <w:p w14:paraId="6738C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both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负责理论试卷阅卷、实操评分、签到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  <w:lang w:val="en-US" w:eastAsia="zh-CN"/>
              </w:rPr>
              <w:t>监考</w:t>
            </w:r>
            <w:r>
              <w:rPr>
                <w:color w:val="auto"/>
              </w:rPr>
              <w:t>及后勤保障</w:t>
            </w:r>
          </w:p>
        </w:tc>
      </w:tr>
      <w:tr w14:paraId="4A78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85" w:type="dxa"/>
            <w:vAlign w:val="center"/>
          </w:tcPr>
          <w:p w14:paraId="39DA9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>裁判</w:t>
            </w:r>
            <w:r>
              <w:rPr>
                <w:rFonts w:hint="eastAsia"/>
                <w:color w:val="auto"/>
                <w:lang w:val="en-US" w:eastAsia="zh-CN"/>
              </w:rPr>
              <w:t>及</w:t>
            </w:r>
          </w:p>
          <w:p w14:paraId="023B8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专家</w:t>
            </w:r>
          </w:p>
        </w:tc>
        <w:tc>
          <w:tcPr>
            <w:tcW w:w="1095" w:type="dxa"/>
            <w:vAlign w:val="center"/>
          </w:tcPr>
          <w:p w14:paraId="5E59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both"/>
              <w:textAlignment w:val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张赛</w:t>
            </w:r>
          </w:p>
        </w:tc>
        <w:tc>
          <w:tcPr>
            <w:tcW w:w="6233" w:type="dxa"/>
            <w:vAlign w:val="center"/>
          </w:tcPr>
          <w:p w14:paraId="1AB81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/>
              <w:jc w:val="both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负责理论试卷阅卷、实操评分、签到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  <w:lang w:val="en-US" w:eastAsia="zh-CN"/>
              </w:rPr>
              <w:t>监考</w:t>
            </w:r>
            <w:r>
              <w:rPr>
                <w:color w:val="auto"/>
              </w:rPr>
              <w:t>及后勤保障</w:t>
            </w:r>
          </w:p>
        </w:tc>
      </w:tr>
    </w:tbl>
    <w:p w14:paraId="6246FBE5">
      <w:pPr>
        <w:rPr>
          <w:color w:val="auto"/>
        </w:rPr>
      </w:pPr>
    </w:p>
    <w:p w14:paraId="4E9F9BA3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六、大赛具体实施安排</w:t>
      </w:r>
    </w:p>
    <w:p w14:paraId="7ABD9199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（一）参赛对象与报名</w:t>
      </w:r>
    </w:p>
    <w:p w14:paraId="17B612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1. 参赛对象：计算机应用技术专业</w:t>
      </w:r>
      <w:r>
        <w:rPr>
          <w:rFonts w:hint="eastAsia"/>
          <w:color w:val="auto"/>
          <w:sz w:val="21"/>
          <w:szCs w:val="21"/>
          <w:lang w:val="en-US" w:eastAsia="zh-CN"/>
        </w:rPr>
        <w:t>班赛获奖</w:t>
      </w:r>
      <w:r>
        <w:rPr>
          <w:color w:val="auto"/>
          <w:sz w:val="21"/>
          <w:szCs w:val="21"/>
        </w:rPr>
        <w:t>学生</w:t>
      </w:r>
    </w:p>
    <w:p w14:paraId="0F1CC8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 报名方式：由</w:t>
      </w:r>
      <w:r>
        <w:rPr>
          <w:rFonts w:hint="eastAsia"/>
          <w:color w:val="auto"/>
          <w:sz w:val="21"/>
          <w:szCs w:val="21"/>
          <w:lang w:val="en-US" w:eastAsia="zh-CN"/>
        </w:rPr>
        <w:t>指导老师</w:t>
      </w:r>
      <w:r>
        <w:rPr>
          <w:color w:val="auto"/>
          <w:sz w:val="21"/>
          <w:szCs w:val="21"/>
        </w:rPr>
        <w:t>统一组织报名，填写参赛报名表</w:t>
      </w:r>
    </w:p>
    <w:p w14:paraId="4CEF93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 报名截止时间：2026年6月</w:t>
      </w:r>
      <w:r>
        <w:rPr>
          <w:rFonts w:hint="eastAsia"/>
          <w:color w:val="auto"/>
          <w:sz w:val="21"/>
          <w:szCs w:val="21"/>
          <w:lang w:val="en-US" w:eastAsia="zh-CN"/>
        </w:rPr>
        <w:t>5</w:t>
      </w:r>
      <w:r>
        <w:rPr>
          <w:color w:val="auto"/>
          <w:sz w:val="21"/>
          <w:szCs w:val="21"/>
        </w:rPr>
        <w:t>日</w:t>
      </w:r>
    </w:p>
    <w:p w14:paraId="4C7D325B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（二）竞赛内容与分值</w:t>
      </w:r>
    </w:p>
    <w:p w14:paraId="44BCFC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本次竞赛为个人赛，总分100分，由理论考试和实操考试两部分组成。</w:t>
      </w:r>
    </w:p>
    <w:tbl>
      <w:tblPr>
        <w:tblStyle w:val="3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860"/>
        <w:gridCol w:w="1330"/>
        <w:gridCol w:w="5126"/>
      </w:tblGrid>
      <w:tr w14:paraId="4697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9" w:type="pct"/>
            <w:shd w:val="clear" w:color="auto" w:fill="F2F2F2"/>
          </w:tcPr>
          <w:p w14:paraId="4913B9CD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部分</w:t>
            </w:r>
          </w:p>
        </w:tc>
        <w:tc>
          <w:tcPr>
            <w:tcW w:w="504" w:type="pct"/>
            <w:shd w:val="clear" w:color="auto" w:fill="F2F2F2"/>
          </w:tcPr>
          <w:p w14:paraId="1DA5A508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分值</w:t>
            </w:r>
          </w:p>
        </w:tc>
        <w:tc>
          <w:tcPr>
            <w:tcW w:w="780" w:type="pct"/>
            <w:shd w:val="clear" w:color="auto" w:fill="F2F2F2"/>
          </w:tcPr>
          <w:p w14:paraId="6BE58350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时长</w:t>
            </w:r>
          </w:p>
        </w:tc>
        <w:tc>
          <w:tcPr>
            <w:tcW w:w="3005" w:type="pct"/>
            <w:shd w:val="clear" w:color="auto" w:fill="F2F2F2"/>
          </w:tcPr>
          <w:p w14:paraId="0ABC5650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考核内容</w:t>
            </w:r>
          </w:p>
        </w:tc>
      </w:tr>
      <w:tr w14:paraId="07E3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pct"/>
          </w:tcPr>
          <w:p w14:paraId="294325AA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理论考试</w:t>
            </w:r>
          </w:p>
        </w:tc>
        <w:tc>
          <w:tcPr>
            <w:tcW w:w="504" w:type="pct"/>
          </w:tcPr>
          <w:p w14:paraId="044032BC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30分</w:t>
            </w:r>
          </w:p>
        </w:tc>
        <w:tc>
          <w:tcPr>
            <w:tcW w:w="780" w:type="pct"/>
          </w:tcPr>
          <w:p w14:paraId="15B1561B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0分钟</w:t>
            </w:r>
          </w:p>
        </w:tc>
        <w:tc>
          <w:tcPr>
            <w:tcW w:w="3005" w:type="pct"/>
          </w:tcPr>
          <w:p w14:paraId="4624C2EF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HTML、CSS、JavaScript、Java，客观题形式</w:t>
            </w:r>
          </w:p>
        </w:tc>
      </w:tr>
      <w:tr w14:paraId="6570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pct"/>
          </w:tcPr>
          <w:p w14:paraId="0ACA56B5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实操考试</w:t>
            </w:r>
          </w:p>
        </w:tc>
        <w:tc>
          <w:tcPr>
            <w:tcW w:w="504" w:type="pct"/>
          </w:tcPr>
          <w:p w14:paraId="4B474C85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70分</w:t>
            </w:r>
          </w:p>
        </w:tc>
        <w:tc>
          <w:tcPr>
            <w:tcW w:w="780" w:type="pct"/>
          </w:tcPr>
          <w:p w14:paraId="1B88BBB4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0分钟</w:t>
            </w:r>
          </w:p>
        </w:tc>
        <w:tc>
          <w:tcPr>
            <w:tcW w:w="3005" w:type="pct"/>
          </w:tcPr>
          <w:p w14:paraId="5C1FB33F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需求分析（20分）+ 前端页面开发（50分）</w:t>
            </w:r>
          </w:p>
        </w:tc>
      </w:tr>
    </w:tbl>
    <w:p w14:paraId="3996C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firstLine="442" w:firstLineChars="200"/>
        <w:textAlignment w:val="auto"/>
        <w:rPr>
          <w:color w:val="auto"/>
        </w:rPr>
      </w:pPr>
      <w:r>
        <w:rPr>
          <w:b/>
          <w:color w:val="auto"/>
        </w:rPr>
        <w:t>实操考试模块与分值：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027"/>
        <w:gridCol w:w="1185"/>
        <w:gridCol w:w="4471"/>
      </w:tblGrid>
      <w:tr w14:paraId="0BE3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dxa"/>
            <w:shd w:val="clear" w:color="auto" w:fill="F2F2F2"/>
          </w:tcPr>
          <w:p w14:paraId="5FA0A222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模块</w:t>
            </w:r>
          </w:p>
        </w:tc>
        <w:tc>
          <w:tcPr>
            <w:tcW w:w="1027" w:type="dxa"/>
            <w:shd w:val="clear" w:color="auto" w:fill="F2F2F2"/>
          </w:tcPr>
          <w:p w14:paraId="36A6F788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分值</w:t>
            </w:r>
          </w:p>
        </w:tc>
        <w:tc>
          <w:tcPr>
            <w:tcW w:w="1185" w:type="dxa"/>
            <w:shd w:val="clear" w:color="auto" w:fill="F2F2F2"/>
          </w:tcPr>
          <w:p w14:paraId="41222485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建议用时</w:t>
            </w:r>
          </w:p>
        </w:tc>
        <w:tc>
          <w:tcPr>
            <w:tcW w:w="4471" w:type="dxa"/>
            <w:shd w:val="clear" w:color="auto" w:fill="F2F2F2"/>
          </w:tcPr>
          <w:p w14:paraId="37971196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交付物</w:t>
            </w:r>
          </w:p>
        </w:tc>
      </w:tr>
      <w:tr w14:paraId="3180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dxa"/>
          </w:tcPr>
          <w:p w14:paraId="5D6DD3F2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需求分析</w:t>
            </w:r>
          </w:p>
        </w:tc>
        <w:tc>
          <w:tcPr>
            <w:tcW w:w="1027" w:type="dxa"/>
          </w:tcPr>
          <w:p w14:paraId="17C76744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20分</w:t>
            </w:r>
          </w:p>
        </w:tc>
        <w:tc>
          <w:tcPr>
            <w:tcW w:w="1185" w:type="dxa"/>
          </w:tcPr>
          <w:p w14:paraId="1D7C1A25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40分钟</w:t>
            </w:r>
          </w:p>
        </w:tc>
        <w:tc>
          <w:tcPr>
            <w:tcW w:w="4471" w:type="dxa"/>
          </w:tcPr>
          <w:p w14:paraId="02C87227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用例图（8分）+ 业务流程图（7分）+ 需求说明文档（5分）</w:t>
            </w:r>
          </w:p>
        </w:tc>
      </w:tr>
      <w:tr w14:paraId="608A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dxa"/>
          </w:tcPr>
          <w:p w14:paraId="4B962FBB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前端页面开发</w:t>
            </w:r>
          </w:p>
        </w:tc>
        <w:tc>
          <w:tcPr>
            <w:tcW w:w="1027" w:type="dxa"/>
          </w:tcPr>
          <w:p w14:paraId="41384132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50分</w:t>
            </w:r>
          </w:p>
        </w:tc>
        <w:tc>
          <w:tcPr>
            <w:tcW w:w="1185" w:type="dxa"/>
          </w:tcPr>
          <w:p w14:paraId="5B49E1B5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100分钟</w:t>
            </w:r>
          </w:p>
        </w:tc>
        <w:tc>
          <w:tcPr>
            <w:tcW w:w="4471" w:type="dxa"/>
          </w:tcPr>
          <w:p w14:paraId="1C722B3E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完整HTML页面文件，含HTML结构+CSS样式+JavaScript交互</w:t>
            </w:r>
          </w:p>
        </w:tc>
      </w:tr>
    </w:tbl>
    <w:p w14:paraId="269D5D43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（三）竞赛流程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4156"/>
      </w:tblGrid>
      <w:tr w14:paraId="61E1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shd w:val="clear" w:color="auto" w:fill="F2F2F2"/>
          </w:tcPr>
          <w:p w14:paraId="01FCDCA1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时间</w:t>
            </w:r>
          </w:p>
        </w:tc>
        <w:tc>
          <w:tcPr>
            <w:tcW w:w="4156" w:type="dxa"/>
            <w:shd w:val="clear" w:color="auto" w:fill="F2F2F2"/>
          </w:tcPr>
          <w:p w14:paraId="64941BD2">
            <w:pPr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环节</w:t>
            </w:r>
          </w:p>
        </w:tc>
      </w:tr>
      <w:tr w14:paraId="3FAB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</w:tcPr>
          <w:p w14:paraId="5A3985AF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  <w:r>
              <w:rPr>
                <w:color w:val="auto"/>
              </w:rPr>
              <w:t>:30-</w:t>
            </w: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color w:val="auto"/>
              </w:rPr>
              <w:t>:00</w:t>
            </w:r>
          </w:p>
        </w:tc>
        <w:tc>
          <w:tcPr>
            <w:tcW w:w="4156" w:type="dxa"/>
          </w:tcPr>
          <w:p w14:paraId="3EAF8A4A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选手签到、身份核验、抽签入座</w:t>
            </w:r>
          </w:p>
        </w:tc>
      </w:tr>
      <w:tr w14:paraId="3FD2A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</w:tcPr>
          <w:p w14:paraId="6761CA79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color w:val="auto"/>
              </w:rPr>
              <w:t>:00-</w:t>
            </w: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</w:t>
            </w:r>
          </w:p>
        </w:tc>
        <w:tc>
          <w:tcPr>
            <w:tcW w:w="4156" w:type="dxa"/>
          </w:tcPr>
          <w:p w14:paraId="230B512C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理论考试（闭卷，纸质试卷）</w:t>
            </w:r>
          </w:p>
        </w:tc>
      </w:tr>
      <w:tr w14:paraId="611AC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</w:tcPr>
          <w:p w14:paraId="03B0F26F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0-1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color w:val="auto"/>
              </w:rPr>
              <w:t>0</w:t>
            </w:r>
          </w:p>
        </w:tc>
        <w:tc>
          <w:tcPr>
            <w:tcW w:w="4156" w:type="dxa"/>
          </w:tcPr>
          <w:p w14:paraId="5E677443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实操考试（上机操作）</w:t>
            </w:r>
          </w:p>
        </w:tc>
      </w:tr>
      <w:tr w14:paraId="234C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</w:tcPr>
          <w:p w14:paraId="2A2630FE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color w:val="auto"/>
              </w:rPr>
              <w:t>0</w:t>
            </w:r>
          </w:p>
        </w:tc>
        <w:tc>
          <w:tcPr>
            <w:tcW w:w="4156" w:type="dxa"/>
          </w:tcPr>
          <w:p w14:paraId="14A33F11">
            <w:pPr>
              <w:jc w:val="left"/>
              <w:rPr>
                <w:color w:val="auto"/>
              </w:rPr>
            </w:pPr>
            <w:r>
              <w:rPr>
                <w:color w:val="auto"/>
              </w:rPr>
              <w:t>提交作品、确认离场</w:t>
            </w:r>
          </w:p>
        </w:tc>
      </w:tr>
    </w:tbl>
    <w:p w14:paraId="76B229A9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（四）命题方案</w:t>
      </w:r>
    </w:p>
    <w:p w14:paraId="5B9E4C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1. 理论部分：建立四科目题库，由命题组随机组卷，确保两场以上考试试卷不重复。</w:t>
      </w:r>
    </w:p>
    <w:p w14:paraId="103EFD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</w:rPr>
      </w:pPr>
      <w:r>
        <w:rPr>
          <w:color w:val="auto"/>
          <w:sz w:val="21"/>
          <w:szCs w:val="21"/>
        </w:rPr>
        <w:t>2. 实操部分：以"校园图书借阅管理系统"为业务场景，对接省赛"</w:t>
      </w:r>
      <w:r>
        <w:rPr>
          <w:rFonts w:hint="eastAsia"/>
          <w:color w:val="auto"/>
          <w:sz w:val="21"/>
          <w:szCs w:val="21"/>
          <w:lang w:eastAsia="zh-CN"/>
        </w:rPr>
        <w:t>web技术</w:t>
      </w:r>
      <w:r>
        <w:rPr>
          <w:color w:val="auto"/>
          <w:sz w:val="21"/>
          <w:szCs w:val="21"/>
        </w:rPr>
        <w:t>开发"赛项的需求分析和前端开发模块，考查学生需求理解能力、文档撰写能力和前端开发实操能力。</w:t>
      </w:r>
    </w:p>
    <w:p w14:paraId="40F7D7F0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（五）评分标准</w:t>
      </w:r>
    </w:p>
    <w:p w14:paraId="6F2F0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1. 理论部分：客观题标准答案统一评分。</w:t>
      </w:r>
    </w:p>
    <w:p w14:paraId="2D4690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 实操部分：按模块细化评分表评分，详见实操试卷评分标准。</w:t>
      </w:r>
    </w:p>
    <w:p w14:paraId="3D7F63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 职业素养（5分，纳入实操评分）：考场纪律、操作规范、文件命名规范、准时提交等。</w:t>
      </w:r>
    </w:p>
    <w:p w14:paraId="1AD88E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 评分流程：两人独立评分，取平均分为最终得分；分差超过10分时由裁判长裁定。</w:t>
      </w:r>
    </w:p>
    <w:p w14:paraId="20575550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（六）奖项设置</w:t>
      </w:r>
    </w:p>
    <w:p w14:paraId="15988D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按校赛标准执行：</w:t>
      </w:r>
    </w:p>
    <w:p w14:paraId="69982E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• 一等奖：5%</w:t>
      </w:r>
    </w:p>
    <w:p w14:paraId="1C20B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• 二等奖：10%</w:t>
      </w:r>
    </w:p>
    <w:p w14:paraId="30643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• 三等奖：15%</w:t>
      </w:r>
    </w:p>
    <w:p w14:paraId="570CC1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• 小数点后四舍五入</w:t>
      </w:r>
    </w:p>
    <w:p w14:paraId="77B6E891">
      <w:pPr>
        <w:pStyle w:val="5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（七）省赛选拔</w:t>
      </w:r>
    </w:p>
    <w:p w14:paraId="52F54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根据校赛总成绩排名，</w:t>
      </w:r>
      <w:r>
        <w:rPr>
          <w:rFonts w:hint="eastAsia"/>
          <w:color w:val="auto"/>
          <w:sz w:val="21"/>
          <w:szCs w:val="21"/>
          <w:lang w:val="en-US" w:eastAsia="zh-CN"/>
        </w:rPr>
        <w:t>一等奖</w:t>
      </w:r>
      <w:r>
        <w:rPr>
          <w:color w:val="auto"/>
          <w:sz w:val="21"/>
          <w:szCs w:val="21"/>
        </w:rPr>
        <w:t>学生纳入省赛集训候选名单，综合考量学生意愿、学习态度和潜力后确定最终集训人选。</w:t>
      </w:r>
    </w:p>
    <w:p w14:paraId="742C70CE">
      <w:pPr>
        <w:pStyle w:val="4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七、保障措施</w:t>
      </w:r>
    </w:p>
    <w:p w14:paraId="63CE5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1. 场地设备保障：提前一周完成机房软件环境部署与测试（VS Code</w:t>
      </w:r>
      <w:r>
        <w:rPr>
          <w:rFonts w:hint="eastAsia"/>
          <w:color w:val="auto"/>
          <w:sz w:val="21"/>
          <w:szCs w:val="21"/>
          <w:lang w:val="en-US" w:eastAsia="zh-CN"/>
        </w:rPr>
        <w:t>/HBulider/Sublime</w:t>
      </w:r>
      <w:r>
        <w:rPr>
          <w:color w:val="auto"/>
          <w:sz w:val="21"/>
          <w:szCs w:val="21"/>
        </w:rPr>
        <w:t>、Chrome、</w:t>
      </w:r>
      <w:r>
        <w:rPr>
          <w:rFonts w:hint="eastAsia"/>
          <w:color w:val="auto"/>
          <w:sz w:val="21"/>
          <w:szCs w:val="21"/>
          <w:lang w:val="en-US" w:eastAsia="zh-CN"/>
        </w:rPr>
        <w:t>viso、wps/official wor</w:t>
      </w:r>
      <w:bookmarkStart w:id="0" w:name="_GoBack"/>
      <w:bookmarkEnd w:id="0"/>
      <w:r>
        <w:rPr>
          <w:rFonts w:hint="eastAsia"/>
          <w:color w:val="auto"/>
          <w:sz w:val="21"/>
          <w:szCs w:val="21"/>
          <w:lang w:val="en-US" w:eastAsia="zh-CN"/>
        </w:rPr>
        <w:t>d</w:t>
      </w:r>
      <w:r>
        <w:rPr>
          <w:color w:val="auto"/>
          <w:sz w:val="21"/>
          <w:szCs w:val="21"/>
        </w:rPr>
        <w:t>、中文输入法等），比赛当日预留</w:t>
      </w:r>
      <w:r>
        <w:rPr>
          <w:rFonts w:hint="eastAsia"/>
          <w:color w:val="auto"/>
          <w:sz w:val="21"/>
          <w:szCs w:val="21"/>
          <w:lang w:val="en-US" w:eastAsia="zh-CN"/>
        </w:rPr>
        <w:t>5</w:t>
      </w:r>
      <w:r>
        <w:rPr>
          <w:color w:val="auto"/>
          <w:sz w:val="21"/>
          <w:szCs w:val="21"/>
        </w:rPr>
        <w:t>台备用机位；</w:t>
      </w:r>
    </w:p>
    <w:p w14:paraId="518CE0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 命题保密保障：命题人员签署保密协议，试卷在比赛当天开封，实操素材赛前30分钟拷贝至考试机；</w:t>
      </w:r>
    </w:p>
    <w:p w14:paraId="67F8F9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 考务组织保障：安排2名考务人员负责签到、监考、收卷和作品收集，确保考试秩序；</w:t>
      </w:r>
    </w:p>
    <w:p w14:paraId="3B1E07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 技术应急保障：安排1名技术人员现场值守，处理突发设备故障或软件异常，准备备用U盘存档提交；</w:t>
      </w:r>
    </w:p>
    <w:p w14:paraId="6EF46C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5. 安全防疫保障：保持机房通风，确保消防通道畅通，制定紧急疏散预案；</w:t>
      </w:r>
    </w:p>
    <w:p w14:paraId="1CCDA7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6. 宣传保障：赛前在专业公众号发布比赛通知和备赛指南，赛后发布获奖名单和优秀作品展示。</w:t>
      </w:r>
    </w:p>
    <w:p w14:paraId="57308146">
      <w:pPr>
        <w:rPr>
          <w:color w:val="auto"/>
        </w:rPr>
      </w:pPr>
    </w:p>
    <w:p w14:paraId="6B90BA54">
      <w:pPr>
        <w:jc w:val="right"/>
        <w:rPr>
          <w:color w:val="auto"/>
        </w:rPr>
      </w:pPr>
      <w:r>
        <w:rPr>
          <w:b/>
          <w:color w:val="auto"/>
        </w:rPr>
        <w:t>计算机应用技术专业</w:t>
      </w:r>
    </w:p>
    <w:p w14:paraId="70DDAB56">
      <w:pPr>
        <w:jc w:val="right"/>
        <w:rPr>
          <w:color w:val="auto"/>
        </w:rPr>
      </w:pPr>
      <w:r>
        <w:rPr>
          <w:b/>
          <w:color w:val="auto"/>
        </w:rPr>
        <w:t>2026年5月</w:t>
      </w:r>
      <w:r>
        <w:rPr>
          <w:rFonts w:hint="eastAsia"/>
          <w:b/>
          <w:color w:val="auto"/>
          <w:lang w:val="en-US" w:eastAsia="zh-CN"/>
        </w:rPr>
        <w:t>24</w:t>
      </w:r>
      <w:r>
        <w:rPr>
          <w:b/>
          <w:color w:val="auto"/>
        </w:rPr>
        <w:t>日</w:t>
      </w:r>
    </w:p>
    <w:p w14:paraId="47FE7148">
      <w:pPr>
        <w:rPr>
          <w:color w:val="auto"/>
        </w:rPr>
      </w:pPr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4B0F"/>
    <w:rsid w:val="00AA1D8D"/>
    <w:rsid w:val="00B47730"/>
    <w:rsid w:val="00CB0664"/>
    <w:rsid w:val="00FC693F"/>
    <w:rsid w:val="41D40152"/>
    <w:rsid w:val="58D97B9D"/>
    <w:rsid w:val="6B34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宋体" w:hAnsi="宋体" w:eastAsia="宋体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Blockquote"/>
    <w:basedOn w:val="1"/>
    <w:qFormat/>
    <w:uiPriority w:val="0"/>
    <w:rPr>
      <w:rFonts w:ascii="楷体" w:hAnsi="楷体" w:eastAsia="楷体"/>
      <w:color w:val="444444"/>
      <w:sz w:val="22"/>
    </w:rPr>
  </w:style>
  <w:style w:type="character" w:customStyle="1" w:styleId="165">
    <w:name w:val="CodeChar"/>
    <w:basedOn w:val="132"/>
    <w:qFormat/>
    <w:uiPriority w:val="0"/>
    <w:rPr>
      <w:rFonts w:ascii="Courier New" w:hAnsi="Courier New" w:eastAsia="Courier New"/>
      <w:color w:val="000000"/>
      <w:sz w:val="20"/>
    </w:rPr>
  </w:style>
  <w:style w:type="paragraph" w:customStyle="1" w:styleId="166">
    <w:name w:val="ListBullet"/>
    <w:qFormat/>
    <w:uiPriority w:val="0"/>
    <w:pPr>
      <w:spacing w:after="200" w:line="276" w:lineRule="auto"/>
    </w:pPr>
    <w:rPr>
      <w:rFonts w:ascii="宋体" w:hAnsi="宋体" w:eastAsia="宋体" w:cstheme="minorBidi"/>
      <w:color w:val="000000"/>
      <w:sz w:val="22"/>
      <w:szCs w:val="22"/>
      <w:lang w:val="en-US" w:eastAsia="en-US" w:bidi="ar-SA"/>
    </w:rPr>
  </w:style>
  <w:style w:type="paragraph" w:customStyle="1" w:styleId="167">
    <w:name w:val="ListNumber"/>
    <w:qFormat/>
    <w:uiPriority w:val="0"/>
    <w:pPr>
      <w:spacing w:after="200" w:line="276" w:lineRule="auto"/>
    </w:pPr>
    <w:rPr>
      <w:rFonts w:ascii="宋体" w:hAnsi="宋体" w:eastAsia="宋体" w:cstheme="minorBidi"/>
      <w:color w:val="000000"/>
      <w:sz w:val="22"/>
      <w:szCs w:val="22"/>
      <w:lang w:val="en-US" w:eastAsia="en-US" w:bidi="ar-SA"/>
    </w:rPr>
  </w:style>
  <w:style w:type="paragraph" w:customStyle="1" w:styleId="168">
    <w:name w:val="Table"/>
    <w:basedOn w:val="1"/>
    <w:qFormat/>
    <w:uiPriority w:val="0"/>
    <w:pPr>
      <w:jc w:val="center"/>
    </w:pPr>
    <w:rPr>
      <w:rFonts w:ascii="宋体" w:hAnsi="宋体" w:eastAsia="宋体"/>
      <w:sz w:val="20"/>
    </w:rPr>
  </w:style>
  <w:style w:type="paragraph" w:customStyle="1" w:styleId="169">
    <w:name w:val="HorizontalRule"/>
    <w:basedOn w:val="1"/>
    <w:qFormat/>
    <w:uiPriority w:val="0"/>
    <w:pPr>
      <w:spacing w:after="240"/>
    </w:pPr>
    <w:rPr>
      <w:color w:val="CCCCCC"/>
    </w:rPr>
  </w:style>
  <w:style w:type="paragraph" w:customStyle="1" w:styleId="170">
    <w:name w:val="Footnote"/>
    <w:basedOn w:val="1"/>
    <w:qFormat/>
    <w:uiPriority w:val="0"/>
    <w:rPr>
      <w:rFonts w:ascii="宋体" w:hAnsi="宋体" w:eastAsia="宋体"/>
      <w:color w:val="666666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1426</Words>
  <Characters>1650</Characters>
  <Lines>0</Lines>
  <Paragraphs>0</Paragraphs>
  <TotalTime>15</TotalTime>
  <ScaleCrop>false</ScaleCrop>
  <LinksUpToDate>false</LinksUpToDate>
  <CharactersWithSpaces>1680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MarkdownToDocx Converter</dc:creator>
  <dc:description>Converted from Markdown to DOCX</dc:description>
  <cp:lastModifiedBy>zweny</cp:lastModifiedBy>
  <dcterms:modified xsi:type="dcterms:W3CDTF">2026-05-25T00:41:27Z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eyJoZGlkIjoiMzU0MjVmZmYzOGY4YzU1NWZlN2QyNDVkNmVjYzMzMGIiLCJ1c2VySWQiOiIyOTEzMDYyMzYifQ==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6A813620326B4CEA97A7E70348D1FBB4_12</vt:lpwstr>
  </property>
</Properties>
</file>